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A3E4" w14:textId="77777777" w:rsidR="00D62651" w:rsidRDefault="00F35B23">
      <w:pPr>
        <w:pStyle w:val="BodyText"/>
        <w:ind w:left="1840"/>
        <w:rPr>
          <w:rFonts w:ascii="Times New Roman"/>
          <w:sz w:val="20"/>
        </w:rPr>
      </w:pPr>
      <w:r>
        <w:rPr>
          <w:rFonts w:ascii="Times New Roman"/>
          <w:noProof/>
          <w:sz w:val="20"/>
        </w:rPr>
        <w:drawing>
          <wp:inline distT="0" distB="0" distL="0" distR="0" wp14:anchorId="52C26C83" wp14:editId="07C9B2F0">
            <wp:extent cx="3279568" cy="7132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279568" cy="713231"/>
                    </a:xfrm>
                    <a:prstGeom prst="rect">
                      <a:avLst/>
                    </a:prstGeom>
                  </pic:spPr>
                </pic:pic>
              </a:graphicData>
            </a:graphic>
          </wp:inline>
        </w:drawing>
      </w:r>
    </w:p>
    <w:p w14:paraId="5C9362EE" w14:textId="77777777" w:rsidR="00D62651" w:rsidRDefault="00D62651">
      <w:pPr>
        <w:pStyle w:val="BodyText"/>
        <w:spacing w:before="2"/>
        <w:rPr>
          <w:rFonts w:ascii="Times New Roman"/>
          <w:sz w:val="15"/>
        </w:rPr>
      </w:pPr>
    </w:p>
    <w:p w14:paraId="1D471D1B" w14:textId="77777777" w:rsidR="00D62651" w:rsidRDefault="00F35B23">
      <w:pPr>
        <w:pStyle w:val="BodyText"/>
        <w:spacing w:before="90"/>
        <w:ind w:left="3113" w:right="3114"/>
        <w:jc w:val="center"/>
        <w:rPr>
          <w:rFonts w:ascii="Times New Roman"/>
        </w:rPr>
      </w:pPr>
      <w:r>
        <w:rPr>
          <w:rFonts w:ascii="Times New Roman"/>
        </w:rPr>
        <w:t>In-House Basketball Rules</w:t>
      </w:r>
    </w:p>
    <w:p w14:paraId="4C3443B7" w14:textId="77777777" w:rsidR="00D62651" w:rsidRDefault="00D62651">
      <w:pPr>
        <w:pStyle w:val="BodyText"/>
        <w:spacing w:before="1"/>
        <w:rPr>
          <w:rFonts w:ascii="Times New Roman"/>
          <w:sz w:val="25"/>
        </w:rPr>
      </w:pPr>
    </w:p>
    <w:p w14:paraId="0C169215" w14:textId="77777777" w:rsidR="00D62651" w:rsidRDefault="00F35B23">
      <w:pPr>
        <w:pStyle w:val="BodyText"/>
        <w:ind w:left="100"/>
      </w:pPr>
      <w:r>
        <w:rPr>
          <w:u w:val="single"/>
        </w:rPr>
        <w:t>General Rules</w:t>
      </w:r>
      <w:r>
        <w:t>:</w:t>
      </w:r>
    </w:p>
    <w:p w14:paraId="58EEF7DC" w14:textId="77777777" w:rsidR="00D62651" w:rsidRDefault="00D62651">
      <w:pPr>
        <w:pStyle w:val="BodyText"/>
        <w:spacing w:before="11"/>
        <w:rPr>
          <w:sz w:val="23"/>
        </w:rPr>
      </w:pPr>
    </w:p>
    <w:p w14:paraId="62A790A8" w14:textId="77777777" w:rsidR="00D62651" w:rsidRDefault="00F35B23">
      <w:pPr>
        <w:pStyle w:val="ListParagraph"/>
        <w:numPr>
          <w:ilvl w:val="0"/>
          <w:numId w:val="1"/>
        </w:numPr>
        <w:tabs>
          <w:tab w:val="left" w:pos="1179"/>
          <w:tab w:val="left" w:pos="1180"/>
        </w:tabs>
        <w:ind w:right="354"/>
        <w:rPr>
          <w:sz w:val="24"/>
        </w:rPr>
      </w:pPr>
      <w:r>
        <w:rPr>
          <w:sz w:val="24"/>
        </w:rPr>
        <w:t>GAA follows the Williamson County youth basketball rules, unless specifically modified by GAA. The rules are available on both the WCPR website and the GAA website</w:t>
      </w:r>
      <w:r>
        <w:rPr>
          <w:spacing w:val="-6"/>
          <w:sz w:val="24"/>
        </w:rPr>
        <w:t xml:space="preserve"> </w:t>
      </w:r>
      <w:r>
        <w:rPr>
          <w:sz w:val="24"/>
        </w:rPr>
        <w:t>(</w:t>
      </w:r>
      <w:hyperlink r:id="rId6">
        <w:r>
          <w:rPr>
            <w:color w:val="0000FF"/>
            <w:sz w:val="24"/>
            <w:u w:val="single" w:color="0000FF"/>
          </w:rPr>
          <w:t>www.PlayGrassland.com</w:t>
        </w:r>
      </w:hyperlink>
      <w:r>
        <w:rPr>
          <w:sz w:val="24"/>
        </w:rPr>
        <w:t>).</w:t>
      </w:r>
    </w:p>
    <w:p w14:paraId="51655FC9" w14:textId="77777777" w:rsidR="00D62651" w:rsidRDefault="00D62651">
      <w:pPr>
        <w:pStyle w:val="BodyText"/>
      </w:pPr>
    </w:p>
    <w:p w14:paraId="39188B4B" w14:textId="77777777" w:rsidR="00D62651" w:rsidRDefault="00F35B23">
      <w:pPr>
        <w:pStyle w:val="ListParagraph"/>
        <w:numPr>
          <w:ilvl w:val="0"/>
          <w:numId w:val="1"/>
        </w:numPr>
        <w:tabs>
          <w:tab w:val="left" w:pos="1179"/>
          <w:tab w:val="left" w:pos="1180"/>
        </w:tabs>
        <w:ind w:right="158"/>
        <w:rPr>
          <w:sz w:val="24"/>
        </w:rPr>
      </w:pPr>
      <w:r>
        <w:rPr>
          <w:sz w:val="24"/>
          <w:u w:val="single"/>
        </w:rPr>
        <w:t>Coaches’ Concussion Training</w:t>
      </w:r>
      <w:r>
        <w:rPr>
          <w:sz w:val="24"/>
        </w:rPr>
        <w:t>. State law REQUIRES all youth coaches to undergo concussion training each year. As a result, all coaches (including assistants) MUST watch a video approved by the Tennessee Department of Health and obtain a certificate of completion. The video is available at</w:t>
      </w:r>
      <w:r>
        <w:rPr>
          <w:color w:val="0000FF"/>
          <w:sz w:val="24"/>
          <w:u w:val="single" w:color="0000FF"/>
        </w:rPr>
        <w:t xml:space="preserve"> </w:t>
      </w:r>
      <w:hyperlink r:id="rId7">
        <w:r>
          <w:rPr>
            <w:color w:val="0000FF"/>
            <w:sz w:val="24"/>
            <w:u w:val="single" w:color="0000FF"/>
          </w:rPr>
          <w:t>www.nfhslearn.com</w:t>
        </w:r>
        <w:r>
          <w:rPr>
            <w:sz w:val="24"/>
          </w:rPr>
          <w:t>.</w:t>
        </w:r>
      </w:hyperlink>
      <w:r>
        <w:rPr>
          <w:sz w:val="24"/>
        </w:rPr>
        <w:t xml:space="preserve"> Coaches must set up an account with NFHS, but the course is</w:t>
      </w:r>
      <w:r>
        <w:rPr>
          <w:spacing w:val="-1"/>
          <w:sz w:val="24"/>
        </w:rPr>
        <w:t xml:space="preserve"> </w:t>
      </w:r>
      <w:r>
        <w:rPr>
          <w:sz w:val="24"/>
        </w:rPr>
        <w:t>FREE.</w:t>
      </w:r>
    </w:p>
    <w:p w14:paraId="7DA49DF3" w14:textId="77777777" w:rsidR="00D62651" w:rsidRDefault="00D62651">
      <w:pPr>
        <w:pStyle w:val="BodyText"/>
        <w:spacing w:before="1"/>
      </w:pPr>
    </w:p>
    <w:p w14:paraId="2F4C6E16" w14:textId="589BDF74" w:rsidR="00D62651" w:rsidRDefault="00F35B23">
      <w:pPr>
        <w:pStyle w:val="ListParagraph"/>
        <w:numPr>
          <w:ilvl w:val="0"/>
          <w:numId w:val="1"/>
        </w:numPr>
        <w:tabs>
          <w:tab w:val="left" w:pos="1179"/>
          <w:tab w:val="left" w:pos="1180"/>
        </w:tabs>
        <w:ind w:right="159"/>
        <w:rPr>
          <w:sz w:val="24"/>
        </w:rPr>
      </w:pPr>
      <w:r>
        <w:rPr>
          <w:sz w:val="24"/>
          <w:u w:val="single"/>
        </w:rPr>
        <w:t xml:space="preserve">At Least Two (2) Adults Must Be Present </w:t>
      </w:r>
      <w:proofErr w:type="gramStart"/>
      <w:r>
        <w:rPr>
          <w:sz w:val="24"/>
          <w:u w:val="single"/>
        </w:rPr>
        <w:t>At</w:t>
      </w:r>
      <w:proofErr w:type="gramEnd"/>
      <w:r>
        <w:rPr>
          <w:sz w:val="24"/>
          <w:u w:val="single"/>
        </w:rPr>
        <w:t xml:space="preserve"> All Times</w:t>
      </w:r>
      <w:r>
        <w:rPr>
          <w:sz w:val="24"/>
        </w:rPr>
        <w:t>. ANY time when a coach or volunteer will be interacting with players, a minimum of two (2) adults MUST be present. This rule is to protect you and the league from any accusation of misconduct with a minor child. The league provides gym monitors for practices and games. However, it is incumbent upon you, the coach, to ensure that two (2) adults are present at all times. Please communicate this rule to your parents and ask them NOT to just drop off players. Also, if necessary, ask a parent to stay with you until the last player is picked</w:t>
      </w:r>
      <w:r>
        <w:rPr>
          <w:spacing w:val="-5"/>
          <w:sz w:val="24"/>
        </w:rPr>
        <w:t xml:space="preserve"> </w:t>
      </w:r>
      <w:r>
        <w:rPr>
          <w:sz w:val="24"/>
        </w:rPr>
        <w:t>up.</w:t>
      </w:r>
    </w:p>
    <w:p w14:paraId="7A6AA40A" w14:textId="77777777" w:rsidR="005D297F" w:rsidRPr="005D297F" w:rsidRDefault="005D297F" w:rsidP="005D297F">
      <w:pPr>
        <w:pStyle w:val="ListParagraph"/>
        <w:rPr>
          <w:sz w:val="24"/>
        </w:rPr>
      </w:pPr>
    </w:p>
    <w:p w14:paraId="6ED848B8" w14:textId="6D81C21A" w:rsidR="005D297F" w:rsidRPr="00D512E7" w:rsidRDefault="00D80A8E">
      <w:pPr>
        <w:pStyle w:val="ListParagraph"/>
        <w:numPr>
          <w:ilvl w:val="0"/>
          <w:numId w:val="1"/>
        </w:numPr>
        <w:tabs>
          <w:tab w:val="left" w:pos="1179"/>
          <w:tab w:val="left" w:pos="1180"/>
        </w:tabs>
        <w:ind w:right="159"/>
        <w:rPr>
          <w:sz w:val="24"/>
        </w:rPr>
      </w:pPr>
      <w:r w:rsidRPr="00D512E7">
        <w:rPr>
          <w:sz w:val="24"/>
        </w:rPr>
        <w:t>Any recreational game that</w:t>
      </w:r>
      <w:r w:rsidR="00C72FC5" w:rsidRPr="00D512E7">
        <w:rPr>
          <w:sz w:val="24"/>
        </w:rPr>
        <w:t xml:space="preserve"> results in a forfeit, and are in a division that</w:t>
      </w:r>
      <w:r w:rsidRPr="00D512E7">
        <w:rPr>
          <w:sz w:val="24"/>
        </w:rPr>
        <w:t xml:space="preserve"> will have a post season in-house GAA tournament</w:t>
      </w:r>
      <w:r w:rsidR="00C72FC5" w:rsidRPr="00D512E7">
        <w:rPr>
          <w:sz w:val="24"/>
        </w:rPr>
        <w:t>, will be scored as a ten to zero (10-0) loss for the forfeiting team.</w:t>
      </w:r>
    </w:p>
    <w:p w14:paraId="76171F30" w14:textId="77777777" w:rsidR="00D62651" w:rsidRDefault="00F35B23">
      <w:pPr>
        <w:pStyle w:val="ListParagraph"/>
        <w:numPr>
          <w:ilvl w:val="0"/>
          <w:numId w:val="1"/>
        </w:numPr>
        <w:tabs>
          <w:tab w:val="left" w:pos="1179"/>
          <w:tab w:val="left" w:pos="1180"/>
        </w:tabs>
        <w:spacing w:before="235"/>
        <w:ind w:right="351"/>
        <w:rPr>
          <w:sz w:val="24"/>
        </w:rPr>
      </w:pPr>
      <w:r>
        <w:rPr>
          <w:sz w:val="24"/>
          <w:u w:val="single"/>
        </w:rPr>
        <w:t>In-House Tournament</w:t>
      </w:r>
      <w:r>
        <w:rPr>
          <w:sz w:val="24"/>
        </w:rPr>
        <w:t>. The in-house tournament will be conducted (weather permitting) the week immediately following the last regular season game. Where seeding for the tournament is needed, the seeding will be set using the following criteria (in</w:t>
      </w:r>
      <w:r>
        <w:rPr>
          <w:spacing w:val="-7"/>
          <w:sz w:val="24"/>
        </w:rPr>
        <w:t xml:space="preserve"> </w:t>
      </w:r>
      <w:r>
        <w:rPr>
          <w:sz w:val="24"/>
        </w:rPr>
        <w:t>order):</w:t>
      </w:r>
    </w:p>
    <w:p w14:paraId="7014704B" w14:textId="77777777" w:rsidR="00D62651" w:rsidRDefault="00D62651">
      <w:pPr>
        <w:pStyle w:val="BodyText"/>
      </w:pPr>
    </w:p>
    <w:p w14:paraId="2E6C17EE" w14:textId="77777777" w:rsidR="00D62651" w:rsidRDefault="00F35B23">
      <w:pPr>
        <w:pStyle w:val="ListParagraph"/>
        <w:numPr>
          <w:ilvl w:val="1"/>
          <w:numId w:val="1"/>
        </w:numPr>
        <w:tabs>
          <w:tab w:val="left" w:pos="1540"/>
        </w:tabs>
        <w:spacing w:line="281" w:lineRule="exact"/>
        <w:rPr>
          <w:sz w:val="24"/>
        </w:rPr>
      </w:pPr>
      <w:proofErr w:type="gramStart"/>
      <w:r>
        <w:rPr>
          <w:sz w:val="24"/>
        </w:rPr>
        <w:t>Head to</w:t>
      </w:r>
      <w:r>
        <w:rPr>
          <w:spacing w:val="-3"/>
          <w:sz w:val="24"/>
        </w:rPr>
        <w:t xml:space="preserve"> </w:t>
      </w:r>
      <w:r>
        <w:rPr>
          <w:sz w:val="24"/>
        </w:rPr>
        <w:t>Head</w:t>
      </w:r>
      <w:proofErr w:type="gramEnd"/>
    </w:p>
    <w:p w14:paraId="1700BA44" w14:textId="496D8F94" w:rsidR="00765833" w:rsidRDefault="00765833">
      <w:pPr>
        <w:pStyle w:val="ListParagraph"/>
        <w:numPr>
          <w:ilvl w:val="1"/>
          <w:numId w:val="1"/>
        </w:numPr>
        <w:tabs>
          <w:tab w:val="left" w:pos="1540"/>
        </w:tabs>
        <w:spacing w:line="281" w:lineRule="exact"/>
        <w:rPr>
          <w:sz w:val="24"/>
        </w:rPr>
      </w:pPr>
      <w:r>
        <w:rPr>
          <w:sz w:val="24"/>
        </w:rPr>
        <w:t>Record vs Higher Seeds</w:t>
      </w:r>
    </w:p>
    <w:p w14:paraId="50493A20" w14:textId="77777777" w:rsidR="00765833" w:rsidRDefault="00765833" w:rsidP="00093192">
      <w:pPr>
        <w:pStyle w:val="ListParagraph"/>
        <w:numPr>
          <w:ilvl w:val="1"/>
          <w:numId w:val="1"/>
        </w:numPr>
        <w:tabs>
          <w:tab w:val="left" w:pos="1540"/>
        </w:tabs>
        <w:spacing w:line="281" w:lineRule="exact"/>
        <w:rPr>
          <w:sz w:val="24"/>
        </w:rPr>
      </w:pPr>
      <w:r>
        <w:rPr>
          <w:sz w:val="24"/>
        </w:rPr>
        <w:t>Record vs Common Opponents</w:t>
      </w:r>
    </w:p>
    <w:p w14:paraId="55AF877C" w14:textId="5D311086" w:rsidR="00093192" w:rsidRDefault="00F35B23" w:rsidP="00093192">
      <w:pPr>
        <w:pStyle w:val="ListParagraph"/>
        <w:numPr>
          <w:ilvl w:val="1"/>
          <w:numId w:val="1"/>
        </w:numPr>
        <w:tabs>
          <w:tab w:val="left" w:pos="1540"/>
        </w:tabs>
        <w:spacing w:line="281" w:lineRule="exact"/>
        <w:rPr>
          <w:sz w:val="24"/>
        </w:rPr>
      </w:pPr>
      <w:r>
        <w:rPr>
          <w:sz w:val="24"/>
        </w:rPr>
        <w:t>Coin</w:t>
      </w:r>
      <w:r>
        <w:rPr>
          <w:spacing w:val="-1"/>
          <w:sz w:val="24"/>
        </w:rPr>
        <w:t xml:space="preserve"> </w:t>
      </w:r>
      <w:r>
        <w:rPr>
          <w:sz w:val="24"/>
        </w:rPr>
        <w:t>flip</w:t>
      </w:r>
      <w:r w:rsidR="00765833">
        <w:rPr>
          <w:sz w:val="24"/>
        </w:rPr>
        <w:t>/Draw</w:t>
      </w:r>
    </w:p>
    <w:p w14:paraId="3AA85A41" w14:textId="77777777" w:rsidR="00093192" w:rsidRPr="00093192" w:rsidRDefault="00093192" w:rsidP="00093192">
      <w:pPr>
        <w:pStyle w:val="ListParagraph"/>
        <w:tabs>
          <w:tab w:val="left" w:pos="1540"/>
        </w:tabs>
        <w:spacing w:line="281" w:lineRule="exact"/>
        <w:ind w:left="1540" w:firstLine="0"/>
        <w:rPr>
          <w:sz w:val="24"/>
        </w:rPr>
      </w:pPr>
    </w:p>
    <w:p w14:paraId="36151F70" w14:textId="09B36B81" w:rsidR="00093192" w:rsidRPr="00093192" w:rsidRDefault="00093192" w:rsidP="00093192">
      <w:pPr>
        <w:pStyle w:val="ListParagraph"/>
        <w:numPr>
          <w:ilvl w:val="1"/>
          <w:numId w:val="1"/>
        </w:numPr>
        <w:tabs>
          <w:tab w:val="left" w:pos="1540"/>
        </w:tabs>
        <w:spacing w:line="281" w:lineRule="exact"/>
        <w:rPr>
          <w:sz w:val="24"/>
        </w:rPr>
      </w:pPr>
      <w:r w:rsidRPr="00093192">
        <w:rPr>
          <w:rFonts w:ascii="Arial" w:eastAsia="Times New Roman" w:hAnsi="Arial" w:cs="Arial"/>
          <w:color w:val="222222"/>
          <w:sz w:val="24"/>
          <w:szCs w:val="24"/>
          <w:lang w:bidi="ar-SA"/>
        </w:rPr>
        <w:t> </w:t>
      </w:r>
      <w:r w:rsidRPr="00093192">
        <w:rPr>
          <w:rFonts w:eastAsia="Times New Roman" w:cs="Arial"/>
          <w:color w:val="222222"/>
          <w:sz w:val="24"/>
          <w:szCs w:val="24"/>
          <w:lang w:bidi="ar-SA"/>
        </w:rPr>
        <w:t xml:space="preserve">If three or more teams are tied, and if the results of the head-to-head match up(s) of the teams that are involved in the tie cannot break the tie (because no team defeated each of the other teams in the tie each time they played, or because no team has defeated all of the other teams involved in the tie, or because the teams involved in the tie did not play one another during pool play), then the tie is broken using </w:t>
      </w:r>
      <w:r w:rsidRPr="00093192">
        <w:rPr>
          <w:rFonts w:eastAsia="Times New Roman" w:cs="Arial"/>
          <w:color w:val="222222"/>
          <w:sz w:val="24"/>
          <w:szCs w:val="24"/>
          <w:lang w:bidi="ar-SA"/>
        </w:rPr>
        <w:lastRenderedPageBreak/>
        <w:t>criterion #C. The remaining teams’ tie is broken by reverting to criterion #B.   </w:t>
      </w:r>
    </w:p>
    <w:p w14:paraId="342E5FD5" w14:textId="77777777" w:rsidR="00D62651" w:rsidRDefault="00D62651">
      <w:pPr>
        <w:pStyle w:val="BodyText"/>
        <w:spacing w:before="1"/>
      </w:pPr>
    </w:p>
    <w:p w14:paraId="721F3D93" w14:textId="77777777" w:rsidR="00D62651" w:rsidRDefault="00F35B23">
      <w:pPr>
        <w:pStyle w:val="BodyText"/>
        <w:ind w:left="2260" w:right="112"/>
      </w:pPr>
      <w:r>
        <w:t xml:space="preserve">** NOTE: Only the first 20 points of a win/loss will count in the scoring differential. A team will </w:t>
      </w:r>
      <w:r>
        <w:rPr>
          <w:b/>
          <w:i/>
          <w:u w:val="single"/>
        </w:rPr>
        <w:t>not</w:t>
      </w:r>
      <w:r>
        <w:rPr>
          <w:b/>
          <w:i/>
        </w:rPr>
        <w:t xml:space="preserve"> </w:t>
      </w:r>
      <w:r>
        <w:t>be rewarded for winning by more than 20 points. If your team is winning by 20+ points, please be considerate of the other team. Extending the lead to 30 or 40 points will NOT help you.</w:t>
      </w:r>
    </w:p>
    <w:p w14:paraId="576EDC5E" w14:textId="77777777" w:rsidR="00D62651" w:rsidRDefault="00D62651">
      <w:pPr>
        <w:pStyle w:val="BodyText"/>
        <w:spacing w:before="3"/>
        <w:rPr>
          <w:sz w:val="10"/>
        </w:rPr>
      </w:pPr>
    </w:p>
    <w:p w14:paraId="5308E7E6" w14:textId="77777777" w:rsidR="00D62651" w:rsidRDefault="00F35B23">
      <w:pPr>
        <w:pStyle w:val="BodyText"/>
        <w:spacing w:before="100"/>
        <w:ind w:left="1180" w:right="816"/>
        <w:jc w:val="both"/>
      </w:pPr>
      <w:r>
        <w:t>If tournament scheduling issues arise where one team will have an advantage over another team, the better-seeded team will have</w:t>
      </w:r>
      <w:r>
        <w:rPr>
          <w:spacing w:val="-26"/>
        </w:rPr>
        <w:t xml:space="preserve"> </w:t>
      </w:r>
      <w:r>
        <w:t>the scheduling advantage (i.e., longer period of rest between</w:t>
      </w:r>
      <w:r>
        <w:rPr>
          <w:spacing w:val="-16"/>
        </w:rPr>
        <w:t xml:space="preserve"> </w:t>
      </w:r>
      <w:r>
        <w:t>games)</w:t>
      </w:r>
    </w:p>
    <w:p w14:paraId="17B55606" w14:textId="77777777" w:rsidR="00D62651" w:rsidRDefault="00D62651">
      <w:pPr>
        <w:pStyle w:val="BodyText"/>
      </w:pPr>
    </w:p>
    <w:p w14:paraId="22B1D423" w14:textId="77777777" w:rsidR="00D62651" w:rsidRDefault="00F35B23">
      <w:pPr>
        <w:spacing w:line="281" w:lineRule="exact"/>
        <w:ind w:left="1180"/>
        <w:rPr>
          <w:b/>
          <w:i/>
          <w:sz w:val="24"/>
        </w:rPr>
      </w:pPr>
      <w:r>
        <w:rPr>
          <w:b/>
          <w:i/>
          <w:sz w:val="24"/>
          <w:u w:val="single"/>
        </w:rPr>
        <w:t>Potential Split of GAA In-House Tournament into A and B Brackets</w:t>
      </w:r>
    </w:p>
    <w:p w14:paraId="1B23FFC9" w14:textId="77777777" w:rsidR="00D62651" w:rsidRDefault="00F35B23">
      <w:pPr>
        <w:pStyle w:val="BodyText"/>
        <w:ind w:left="1180" w:right="91"/>
      </w:pPr>
      <w:r>
        <w:t>If, during the season, it becomes apparent that there is a major difference in ability between the upper teams and lower teams in a particular division, the Board and Basketball Committee reserve the right to divide a division into a “A” bracket and “B” bracket for the In-House Tournament. In the event that happens, only the “A” bracket teams will be eligible for the County Tournament. The purpose of this rule is to ensure that Tournament games are competitive and that we give each team an opportunity to be successful at the end of the year (rather than have the lower teams face a big loss in the Tournament to end their season). We realize that not everyone agrees with this decision, but please keep in mind that</w:t>
      </w:r>
    </w:p>
    <w:p w14:paraId="4F1876EB" w14:textId="77777777" w:rsidR="00D62651" w:rsidRDefault="00D62651">
      <w:pPr>
        <w:pStyle w:val="BodyText"/>
      </w:pPr>
    </w:p>
    <w:p w14:paraId="7896F859" w14:textId="77777777" w:rsidR="00D62651" w:rsidRDefault="00F35B23">
      <w:pPr>
        <w:pStyle w:val="ListParagraph"/>
        <w:numPr>
          <w:ilvl w:val="0"/>
          <w:numId w:val="1"/>
        </w:numPr>
        <w:tabs>
          <w:tab w:val="left" w:pos="1179"/>
          <w:tab w:val="left" w:pos="1180"/>
        </w:tabs>
        <w:ind w:right="242"/>
        <w:rPr>
          <w:sz w:val="24"/>
        </w:rPr>
      </w:pPr>
      <w:r>
        <w:rPr>
          <w:sz w:val="24"/>
          <w:u w:val="single"/>
        </w:rPr>
        <w:t>County Tournament</w:t>
      </w:r>
      <w:r>
        <w:rPr>
          <w:sz w:val="24"/>
        </w:rPr>
        <w:t>. The tournament champion of each league will be the GAA representative for the “A Bracket” in the County Tournament. If the regular season champion is NOT winner the GAA tournament, then the regular season champion will be the GAA representative for the “B Bracket” County Tournament. If the same team wins both the regular season and tournament championships, then the tournament runner-up will be the “B Bracket” GAA representative. In the event a team cannot play in the County Tournament, the team finishing in the tournament immediately below the team that cannot play will be offered the spot in the County</w:t>
      </w:r>
      <w:r>
        <w:rPr>
          <w:spacing w:val="-3"/>
          <w:sz w:val="24"/>
        </w:rPr>
        <w:t xml:space="preserve"> </w:t>
      </w:r>
      <w:r>
        <w:rPr>
          <w:sz w:val="24"/>
        </w:rPr>
        <w:t>Tournament.</w:t>
      </w:r>
    </w:p>
    <w:sectPr w:rsidR="00D62651">
      <w:pgSz w:w="12240" w:h="15840"/>
      <w:pgMar w:top="150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1E7D"/>
    <w:multiLevelType w:val="hybridMultilevel"/>
    <w:tmpl w:val="A5762258"/>
    <w:lvl w:ilvl="0" w:tplc="E3608BBE">
      <w:start w:val="1"/>
      <w:numFmt w:val="decimal"/>
      <w:lvlText w:val="%1."/>
      <w:lvlJc w:val="left"/>
      <w:pPr>
        <w:ind w:left="1180" w:hanging="720"/>
        <w:jc w:val="left"/>
      </w:pPr>
      <w:rPr>
        <w:rFonts w:ascii="Cambria" w:eastAsia="Cambria" w:hAnsi="Cambria" w:cs="Cambria" w:hint="default"/>
        <w:spacing w:val="-2"/>
        <w:w w:val="100"/>
        <w:sz w:val="24"/>
        <w:szCs w:val="24"/>
        <w:lang w:val="en-US" w:eastAsia="en-US" w:bidi="en-US"/>
      </w:rPr>
    </w:lvl>
    <w:lvl w:ilvl="1" w:tplc="924CF1B2">
      <w:start w:val="1"/>
      <w:numFmt w:val="lowerLetter"/>
      <w:lvlText w:val="%2."/>
      <w:lvlJc w:val="left"/>
      <w:pPr>
        <w:ind w:left="1540" w:hanging="360"/>
        <w:jc w:val="left"/>
      </w:pPr>
      <w:rPr>
        <w:rFonts w:ascii="Cambria" w:eastAsia="Cambria" w:hAnsi="Cambria" w:cs="Cambria" w:hint="default"/>
        <w:spacing w:val="-19"/>
        <w:w w:val="100"/>
        <w:sz w:val="24"/>
        <w:szCs w:val="24"/>
        <w:lang w:val="en-US" w:eastAsia="en-US" w:bidi="en-US"/>
      </w:rPr>
    </w:lvl>
    <w:lvl w:ilvl="2" w:tplc="C7B87D5A">
      <w:numFmt w:val="bullet"/>
      <w:lvlText w:val="•"/>
      <w:lvlJc w:val="left"/>
      <w:pPr>
        <w:ind w:left="2351" w:hanging="360"/>
      </w:pPr>
      <w:rPr>
        <w:rFonts w:hint="default"/>
        <w:lang w:val="en-US" w:eastAsia="en-US" w:bidi="en-US"/>
      </w:rPr>
    </w:lvl>
    <w:lvl w:ilvl="3" w:tplc="5450DAA6">
      <w:numFmt w:val="bullet"/>
      <w:lvlText w:val="•"/>
      <w:lvlJc w:val="left"/>
      <w:pPr>
        <w:ind w:left="3162" w:hanging="360"/>
      </w:pPr>
      <w:rPr>
        <w:rFonts w:hint="default"/>
        <w:lang w:val="en-US" w:eastAsia="en-US" w:bidi="en-US"/>
      </w:rPr>
    </w:lvl>
    <w:lvl w:ilvl="4" w:tplc="D584A94A">
      <w:numFmt w:val="bullet"/>
      <w:lvlText w:val="•"/>
      <w:lvlJc w:val="left"/>
      <w:pPr>
        <w:ind w:left="3973" w:hanging="360"/>
      </w:pPr>
      <w:rPr>
        <w:rFonts w:hint="default"/>
        <w:lang w:val="en-US" w:eastAsia="en-US" w:bidi="en-US"/>
      </w:rPr>
    </w:lvl>
    <w:lvl w:ilvl="5" w:tplc="2FE01D7A">
      <w:numFmt w:val="bullet"/>
      <w:lvlText w:val="•"/>
      <w:lvlJc w:val="left"/>
      <w:pPr>
        <w:ind w:left="4784" w:hanging="360"/>
      </w:pPr>
      <w:rPr>
        <w:rFonts w:hint="default"/>
        <w:lang w:val="en-US" w:eastAsia="en-US" w:bidi="en-US"/>
      </w:rPr>
    </w:lvl>
    <w:lvl w:ilvl="6" w:tplc="31028C8C">
      <w:numFmt w:val="bullet"/>
      <w:lvlText w:val="•"/>
      <w:lvlJc w:val="left"/>
      <w:pPr>
        <w:ind w:left="5595" w:hanging="360"/>
      </w:pPr>
      <w:rPr>
        <w:rFonts w:hint="default"/>
        <w:lang w:val="en-US" w:eastAsia="en-US" w:bidi="en-US"/>
      </w:rPr>
    </w:lvl>
    <w:lvl w:ilvl="7" w:tplc="3EBC3986">
      <w:numFmt w:val="bullet"/>
      <w:lvlText w:val="•"/>
      <w:lvlJc w:val="left"/>
      <w:pPr>
        <w:ind w:left="6406" w:hanging="360"/>
      </w:pPr>
      <w:rPr>
        <w:rFonts w:hint="default"/>
        <w:lang w:val="en-US" w:eastAsia="en-US" w:bidi="en-US"/>
      </w:rPr>
    </w:lvl>
    <w:lvl w:ilvl="8" w:tplc="53EAA67A">
      <w:numFmt w:val="bullet"/>
      <w:lvlText w:val="•"/>
      <w:lvlJc w:val="left"/>
      <w:pPr>
        <w:ind w:left="7217" w:hanging="360"/>
      </w:pPr>
      <w:rPr>
        <w:rFonts w:hint="default"/>
        <w:lang w:val="en-US" w:eastAsia="en-US" w:bidi="en-US"/>
      </w:rPr>
    </w:lvl>
  </w:abstractNum>
  <w:abstractNum w:abstractNumId="1" w15:restartNumberingAfterBreak="0">
    <w:nsid w:val="4E8F0060"/>
    <w:multiLevelType w:val="multilevel"/>
    <w:tmpl w:val="0B92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818564">
    <w:abstractNumId w:val="0"/>
  </w:num>
  <w:num w:numId="2" w16cid:durableId="38202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51"/>
    <w:rsid w:val="00093192"/>
    <w:rsid w:val="005D297F"/>
    <w:rsid w:val="00684984"/>
    <w:rsid w:val="00765833"/>
    <w:rsid w:val="00A344A4"/>
    <w:rsid w:val="00C72FC5"/>
    <w:rsid w:val="00D512E7"/>
    <w:rsid w:val="00D62651"/>
    <w:rsid w:val="00D80A8E"/>
    <w:rsid w:val="00F3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F6CE"/>
  <w15:docId w15:val="{974C97FC-AEA1-4D27-8B86-20C8E5A8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0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hslea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ygrasslan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CAIN</dc:creator>
  <cp:lastModifiedBy>dorris0311@gmail.com</cp:lastModifiedBy>
  <cp:revision>2</cp:revision>
  <dcterms:created xsi:type="dcterms:W3CDTF">2024-11-03T21:13:00Z</dcterms:created>
  <dcterms:modified xsi:type="dcterms:W3CDTF">2024-11-03T21:13:00Z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2015-11-03T00:00:00Z</vt:filetime>
  </property>
  <property fmtid="{D5CDD505-2E9C-101B-9397-08002B2CF9AE}" pid="3" name="Creator">
    <vt:lpwstr>Acrobat PDFMaker 11 for Word</vt:lpwstr>
  </property>
  <property fmtid="{D5CDD505-2E9C-101B-9397-08002B2CF9AE}" pid="4" name="LastSaved">
    <vt:filetime>2019-01-22T00:00:00Z</vt:filetime>
  </property>
</Properties>
</file>